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Default="004A5B21" w:rsidP="003A35E3">
      <w:pPr>
        <w:jc w:val="center"/>
        <w:rPr>
          <w:rFonts w:ascii="Book Antiqua" w:hAnsi="Book Antiqua" w:cs="Book Antiqua"/>
        </w:rPr>
      </w:pPr>
      <w:r w:rsidRPr="005313A3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DC4859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DC4859">
        <w:rPr>
          <w:rFonts w:ascii="Book Antiqua" w:eastAsia="Calibri" w:hAnsi="Book Antiqua" w:cs="Book Antiqua"/>
          <w:b/>
          <w:bCs/>
          <w:sz w:val="32"/>
          <w:szCs w:val="32"/>
        </w:rPr>
        <w:t>Republika e Kosovës</w:t>
      </w:r>
    </w:p>
    <w:p w:rsidR="004A5B21" w:rsidRPr="00DC4859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DC4859">
        <w:rPr>
          <w:rFonts w:ascii="Book Antiqua" w:eastAsia="Batang" w:hAnsi="Book Antiqua" w:cs="Book Antiqua"/>
          <w:b/>
          <w:bCs/>
          <w:sz w:val="28"/>
          <w:szCs w:val="28"/>
          <w:lang w:val="sv-SE"/>
        </w:rPr>
        <w:t>Republika Kosova-</w:t>
      </w:r>
      <w:r w:rsidRPr="00DC4859">
        <w:rPr>
          <w:rFonts w:ascii="Book Antiqua" w:eastAsia="Calibri" w:hAnsi="Book Antiqua" w:cs="Book Antiqua"/>
          <w:b/>
          <w:bCs/>
          <w:sz w:val="28"/>
          <w:szCs w:val="28"/>
          <w:lang w:val="sv-SE"/>
        </w:rPr>
        <w:t xml:space="preserve">Republic of </w:t>
      </w:r>
      <w:r w:rsidRPr="00DC4859">
        <w:rPr>
          <w:rFonts w:ascii="Book Antiqua" w:eastAsia="Calibri" w:hAnsi="Book Antiqua" w:cs="Book Antiqua"/>
          <w:b/>
          <w:bCs/>
          <w:sz w:val="28"/>
          <w:szCs w:val="28"/>
        </w:rPr>
        <w:t>Kosovo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 w:rsidRPr="009F27ED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9F27ED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Ministarstvo Rada i Socijalne Zastine – Ministry of Labour and Social Welfare</w:t>
      </w:r>
    </w:p>
    <w:p w:rsidR="00DC4859" w:rsidRPr="009F27ED" w:rsidRDefault="00DC4859" w:rsidP="00DC4859">
      <w:pP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___________________________________________________________________________</w:t>
      </w:r>
    </w:p>
    <w:p w:rsidR="004A5B21" w:rsidRPr="00DC4859" w:rsidRDefault="004A5B21" w:rsidP="004A5B21">
      <w:pPr>
        <w:spacing w:after="0" w:line="20" w:lineRule="atLeast"/>
        <w:jc w:val="both"/>
        <w:rPr>
          <w:rFonts w:asciiTheme="minorHAnsi" w:hAnsiTheme="minorHAnsi" w:cstheme="minorHAnsi"/>
          <w:sz w:val="40"/>
          <w:szCs w:val="40"/>
        </w:rPr>
      </w:pPr>
    </w:p>
    <w:p w:rsidR="00AB6115" w:rsidRPr="00DC4859" w:rsidRDefault="00AB6115" w:rsidP="00AB611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C4859">
        <w:rPr>
          <w:rFonts w:asciiTheme="minorHAnsi" w:hAnsiTheme="minorHAnsi" w:cstheme="minorHAnsi"/>
          <w:b/>
          <w:i/>
          <w:sz w:val="40"/>
          <w:szCs w:val="40"/>
        </w:rPr>
        <w:t>Dokument K</w:t>
      </w:r>
      <w:r w:rsidR="00366848" w:rsidRPr="00DC4859">
        <w:rPr>
          <w:rFonts w:asciiTheme="minorHAnsi" w:hAnsiTheme="minorHAnsi" w:cstheme="minorHAnsi"/>
          <w:b/>
          <w:i/>
          <w:sz w:val="40"/>
          <w:szCs w:val="40"/>
        </w:rPr>
        <w:t>onsultimi</w:t>
      </w:r>
      <w:r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 </w:t>
      </w:r>
    </w:p>
    <w:p w:rsidR="00DC4859" w:rsidRPr="00DC4859" w:rsidRDefault="00DC4859" w:rsidP="00AB6115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:rsidR="004A5B21" w:rsidRPr="00DC4859" w:rsidRDefault="00712AB8" w:rsidP="00A4269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C4859">
        <w:rPr>
          <w:rFonts w:asciiTheme="minorHAnsi" w:hAnsiTheme="minorHAnsi" w:cstheme="minorHAnsi"/>
          <w:b/>
          <w:i/>
          <w:sz w:val="40"/>
          <w:szCs w:val="40"/>
        </w:rPr>
        <w:t>p</w:t>
      </w:r>
      <w:r w:rsidR="00AB6115" w:rsidRPr="00DC4859">
        <w:rPr>
          <w:rFonts w:asciiTheme="minorHAnsi" w:hAnsiTheme="minorHAnsi" w:cstheme="minorHAnsi"/>
          <w:b/>
          <w:i/>
          <w:sz w:val="40"/>
          <w:szCs w:val="40"/>
        </w:rPr>
        <w:t>ër</w:t>
      </w:r>
    </w:p>
    <w:p w:rsidR="001648F3" w:rsidRPr="00DC4859" w:rsidRDefault="001648F3" w:rsidP="00A4269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:rsidR="00DC4859" w:rsidRPr="00DC4859" w:rsidRDefault="00027ABC" w:rsidP="004B442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C4859">
        <w:rPr>
          <w:rFonts w:asciiTheme="minorHAnsi" w:hAnsiTheme="minorHAnsi" w:cstheme="minorHAnsi"/>
          <w:b/>
          <w:i/>
          <w:sz w:val="40"/>
          <w:szCs w:val="40"/>
        </w:rPr>
        <w:t>Projekt</w:t>
      </w:r>
      <w:r w:rsidR="00DC4859">
        <w:rPr>
          <w:rFonts w:asciiTheme="minorHAnsi" w:hAnsiTheme="minorHAnsi" w:cstheme="minorHAnsi"/>
          <w:b/>
          <w:i/>
          <w:sz w:val="40"/>
          <w:szCs w:val="40"/>
        </w:rPr>
        <w:t>R</w:t>
      </w:r>
      <w:r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regulloren </w:t>
      </w:r>
      <w:r w:rsidR="00F91EA8">
        <w:rPr>
          <w:rFonts w:asciiTheme="minorHAnsi" w:hAnsiTheme="minorHAnsi" w:cstheme="minorHAnsi"/>
          <w:b/>
          <w:i/>
          <w:sz w:val="40"/>
          <w:szCs w:val="40"/>
        </w:rPr>
        <w:t>(MPMS) Nr.xx/2018</w:t>
      </w:r>
    </w:p>
    <w:p w:rsidR="00DC4859" w:rsidRPr="00DC4859" w:rsidRDefault="00DC4859" w:rsidP="004B442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C4859">
        <w:rPr>
          <w:rFonts w:asciiTheme="minorHAnsi" w:hAnsiTheme="minorHAnsi" w:cstheme="minorHAnsi"/>
          <w:b/>
          <w:i/>
          <w:sz w:val="40"/>
          <w:szCs w:val="40"/>
        </w:rPr>
        <w:t>për Lehtësirat Tatimore dhe Doganore për Punëdhënësit që Punësojnë Persona me Aftësi të K</w:t>
      </w:r>
      <w:r w:rsidR="00027ABC" w:rsidRPr="00DC4859">
        <w:rPr>
          <w:rFonts w:asciiTheme="minorHAnsi" w:hAnsiTheme="minorHAnsi" w:cstheme="minorHAnsi"/>
          <w:b/>
          <w:i/>
          <w:sz w:val="40"/>
          <w:szCs w:val="40"/>
        </w:rPr>
        <w:t>ufizuar</w:t>
      </w:r>
      <w:r w:rsidR="00712AB8" w:rsidRPr="00DC4859">
        <w:rPr>
          <w:rFonts w:asciiTheme="minorHAnsi" w:hAnsiTheme="minorHAnsi" w:cstheme="minorHAnsi"/>
          <w:b/>
          <w:i/>
          <w:sz w:val="40"/>
          <w:szCs w:val="40"/>
        </w:rPr>
        <w:t>a</w:t>
      </w:r>
      <w:r w:rsidR="00027ABC"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 dhe</w:t>
      </w:r>
      <w:r w:rsidR="004B442C"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 për</w:t>
      </w:r>
      <w:r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 Personat me A</w:t>
      </w:r>
      <w:r>
        <w:rPr>
          <w:rFonts w:asciiTheme="minorHAnsi" w:hAnsiTheme="minorHAnsi" w:cstheme="minorHAnsi"/>
          <w:b/>
          <w:i/>
          <w:sz w:val="40"/>
          <w:szCs w:val="40"/>
        </w:rPr>
        <w:t xml:space="preserve">ftësi të </w:t>
      </w:r>
    </w:p>
    <w:p w:rsidR="0019276B" w:rsidRPr="00DC4859" w:rsidRDefault="00DC4859" w:rsidP="004B442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DC4859">
        <w:rPr>
          <w:rFonts w:asciiTheme="minorHAnsi" w:hAnsiTheme="minorHAnsi" w:cstheme="minorHAnsi"/>
          <w:b/>
          <w:i/>
          <w:sz w:val="40"/>
          <w:szCs w:val="40"/>
        </w:rPr>
        <w:t>K</w:t>
      </w:r>
      <w:r w:rsidR="00027ABC" w:rsidRPr="00DC4859">
        <w:rPr>
          <w:rFonts w:asciiTheme="minorHAnsi" w:hAnsiTheme="minorHAnsi" w:cstheme="minorHAnsi"/>
          <w:b/>
          <w:i/>
          <w:sz w:val="40"/>
          <w:szCs w:val="40"/>
        </w:rPr>
        <w:t>ufizuar</w:t>
      </w:r>
      <w:r w:rsidR="00712AB8" w:rsidRPr="00DC4859">
        <w:rPr>
          <w:rFonts w:asciiTheme="minorHAnsi" w:hAnsiTheme="minorHAnsi" w:cstheme="minorHAnsi"/>
          <w:b/>
          <w:i/>
          <w:sz w:val="40"/>
          <w:szCs w:val="40"/>
        </w:rPr>
        <w:t>a</w:t>
      </w:r>
      <w:r>
        <w:rPr>
          <w:rFonts w:asciiTheme="minorHAnsi" w:hAnsiTheme="minorHAnsi" w:cstheme="minorHAnsi"/>
          <w:b/>
          <w:i/>
          <w:sz w:val="40"/>
          <w:szCs w:val="40"/>
        </w:rPr>
        <w:t xml:space="preserve"> që U</w:t>
      </w:r>
      <w:r w:rsidRPr="00DC4859">
        <w:rPr>
          <w:rFonts w:asciiTheme="minorHAnsi" w:hAnsiTheme="minorHAnsi" w:cstheme="minorHAnsi"/>
          <w:b/>
          <w:i/>
          <w:sz w:val="40"/>
          <w:szCs w:val="40"/>
        </w:rPr>
        <w:t>shtrojnë V</w:t>
      </w:r>
      <w:r w:rsidR="00027ABC" w:rsidRPr="00DC4859">
        <w:rPr>
          <w:rFonts w:asciiTheme="minorHAnsi" w:hAnsiTheme="minorHAnsi" w:cstheme="minorHAnsi"/>
          <w:b/>
          <w:i/>
          <w:sz w:val="40"/>
          <w:szCs w:val="40"/>
        </w:rPr>
        <w:t>eprimtari</w:t>
      </w:r>
      <w:r w:rsidRPr="00DC4859">
        <w:rPr>
          <w:rFonts w:asciiTheme="minorHAnsi" w:hAnsiTheme="minorHAnsi" w:cstheme="minorHAnsi"/>
          <w:b/>
          <w:i/>
          <w:sz w:val="40"/>
          <w:szCs w:val="40"/>
        </w:rPr>
        <w:t xml:space="preserve"> të P</w:t>
      </w:r>
      <w:r w:rsidR="00027ABC" w:rsidRPr="00DC4859">
        <w:rPr>
          <w:rFonts w:asciiTheme="minorHAnsi" w:hAnsiTheme="minorHAnsi" w:cstheme="minorHAnsi"/>
          <w:b/>
          <w:i/>
          <w:sz w:val="40"/>
          <w:szCs w:val="40"/>
        </w:rPr>
        <w:t>avarur</w:t>
      </w:r>
    </w:p>
    <w:p w:rsidR="00027ABC" w:rsidRPr="00DC4859" w:rsidRDefault="00027ABC" w:rsidP="00F54B65">
      <w:pPr>
        <w:spacing w:after="0" w:line="240" w:lineRule="auto"/>
        <w:jc w:val="center"/>
        <w:rPr>
          <w:rFonts w:ascii="Book Antiqua" w:hAnsi="Book Antiqua"/>
          <w:b/>
          <w:i/>
          <w:sz w:val="40"/>
          <w:szCs w:val="40"/>
        </w:rPr>
      </w:pPr>
    </w:p>
    <w:p w:rsidR="00027ABC" w:rsidRPr="00DC4859" w:rsidRDefault="00027ABC" w:rsidP="00F54B65">
      <w:pPr>
        <w:spacing w:after="0" w:line="240" w:lineRule="auto"/>
        <w:jc w:val="center"/>
        <w:rPr>
          <w:b/>
          <w:sz w:val="40"/>
          <w:szCs w:val="40"/>
        </w:rPr>
      </w:pPr>
    </w:p>
    <w:p w:rsidR="00E34AAF" w:rsidRPr="00712AB8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712AB8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4A5B21" w:rsidRPr="00712AB8" w:rsidRDefault="004A5B21" w:rsidP="00B67A23">
      <w:pPr>
        <w:spacing w:after="0" w:line="240" w:lineRule="auto"/>
        <w:rPr>
          <w:b/>
          <w:i/>
          <w:sz w:val="32"/>
          <w:szCs w:val="32"/>
        </w:rPr>
      </w:pPr>
    </w:p>
    <w:p w:rsidR="00B67A23" w:rsidRPr="00712AB8" w:rsidRDefault="00B67A23" w:rsidP="00B67A23">
      <w:pPr>
        <w:spacing w:after="0" w:line="240" w:lineRule="auto"/>
        <w:rPr>
          <w:b/>
          <w:i/>
          <w:sz w:val="32"/>
          <w:szCs w:val="32"/>
        </w:rPr>
      </w:pPr>
    </w:p>
    <w:p w:rsidR="00BE434B" w:rsidRPr="00712AB8" w:rsidRDefault="00BE434B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32487" w:rsidRPr="00712AB8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C4859" w:rsidRDefault="00DC4859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712AB8" w:rsidRDefault="00867E5B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 w:rsidRPr="00712AB8">
        <w:rPr>
          <w:b/>
          <w:i/>
          <w:sz w:val="32"/>
          <w:szCs w:val="32"/>
        </w:rPr>
        <w:t>Qershor</w:t>
      </w:r>
      <w:r w:rsidR="00DC4859">
        <w:rPr>
          <w:b/>
          <w:i/>
          <w:sz w:val="32"/>
          <w:szCs w:val="32"/>
        </w:rPr>
        <w:t>,</w:t>
      </w:r>
      <w:r w:rsidR="0028579B" w:rsidRPr="00712AB8">
        <w:rPr>
          <w:b/>
          <w:i/>
          <w:sz w:val="32"/>
          <w:szCs w:val="32"/>
        </w:rPr>
        <w:t xml:space="preserve"> </w:t>
      </w:r>
      <w:r w:rsidR="00B67A23" w:rsidRPr="00712AB8">
        <w:rPr>
          <w:b/>
          <w:i/>
          <w:sz w:val="32"/>
          <w:szCs w:val="32"/>
        </w:rPr>
        <w:t>2018</w:t>
      </w:r>
    </w:p>
    <w:p w:rsidR="0019276B" w:rsidRPr="00712AB8" w:rsidRDefault="0019276B" w:rsidP="00152E7F">
      <w:pPr>
        <w:spacing w:after="0" w:line="240" w:lineRule="auto"/>
        <w:rPr>
          <w:b/>
          <w:i/>
        </w:rPr>
      </w:pPr>
    </w:p>
    <w:p w:rsidR="0019276B" w:rsidRPr="00712AB8" w:rsidRDefault="009B1B0B" w:rsidP="0019276B">
      <w:pPr>
        <w:spacing w:after="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712AB8">
        <w:rPr>
          <w:rFonts w:asciiTheme="minorHAnsi" w:hAnsiTheme="minorHAnsi"/>
          <w:b/>
          <w:i/>
          <w:sz w:val="24"/>
          <w:szCs w:val="24"/>
        </w:rPr>
        <w:t xml:space="preserve">1. </w:t>
      </w:r>
      <w:r w:rsidR="00366848" w:rsidRPr="00712AB8">
        <w:rPr>
          <w:rFonts w:asciiTheme="minorHAnsi" w:hAnsiTheme="minorHAnsi"/>
          <w:b/>
          <w:i/>
          <w:sz w:val="24"/>
          <w:szCs w:val="24"/>
        </w:rPr>
        <w:t xml:space="preserve">Përmbledhje e shkurtër </w:t>
      </w:r>
    </w:p>
    <w:p w:rsidR="0019276B" w:rsidRPr="00712AB8" w:rsidRDefault="0019276B" w:rsidP="0019276B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712AB8">
        <w:rPr>
          <w:rFonts w:asciiTheme="minorHAnsi" w:hAnsiTheme="minorHAnsi"/>
          <w:b/>
          <w:i/>
          <w:sz w:val="24"/>
          <w:szCs w:val="24"/>
        </w:rPr>
        <w:t>___________________________________________________________________________</w:t>
      </w:r>
    </w:p>
    <w:p w:rsidR="0019276B" w:rsidRPr="00712AB8" w:rsidRDefault="0019276B" w:rsidP="0019276B">
      <w:pPr>
        <w:spacing w:after="0" w:line="240" w:lineRule="auto"/>
        <w:jc w:val="center"/>
        <w:rPr>
          <w:rFonts w:asciiTheme="minorHAnsi" w:eastAsia="Batang" w:hAnsiTheme="minorHAnsi"/>
          <w:i/>
          <w:sz w:val="24"/>
          <w:szCs w:val="24"/>
        </w:rPr>
      </w:pPr>
    </w:p>
    <w:p w:rsidR="00353EDD" w:rsidRPr="00712AB8" w:rsidRDefault="000037D3" w:rsidP="00926599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12AB8">
        <w:rPr>
          <w:rFonts w:asciiTheme="minorHAnsi" w:hAnsiTheme="minorHAnsi"/>
          <w:i/>
          <w:sz w:val="24"/>
          <w:szCs w:val="24"/>
        </w:rPr>
        <w:t>Baza Ligjore</w:t>
      </w:r>
      <w:r w:rsidR="0037303F" w:rsidRPr="00712AB8">
        <w:rPr>
          <w:rFonts w:asciiTheme="minorHAnsi" w:hAnsiTheme="minorHAnsi"/>
          <w:i/>
          <w:sz w:val="24"/>
          <w:szCs w:val="24"/>
        </w:rPr>
        <w:t xml:space="preserve"> e nxjerrjes së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</w:t>
      </w:r>
      <w:r w:rsidR="00A44939" w:rsidRPr="00712AB8">
        <w:rPr>
          <w:rFonts w:asciiTheme="minorHAnsi" w:hAnsiTheme="minorHAnsi"/>
          <w:i/>
          <w:sz w:val="24"/>
          <w:szCs w:val="24"/>
        </w:rPr>
        <w:t>Projekt</w:t>
      </w:r>
      <w:r w:rsidR="00712AB8">
        <w:rPr>
          <w:rFonts w:asciiTheme="minorHAnsi" w:hAnsiTheme="minorHAnsi"/>
          <w:i/>
          <w:sz w:val="24"/>
          <w:szCs w:val="24"/>
        </w:rPr>
        <w:t>r</w:t>
      </w:r>
      <w:r w:rsidR="00A44939" w:rsidRPr="00712AB8">
        <w:rPr>
          <w:rFonts w:asciiTheme="minorHAnsi" w:hAnsiTheme="minorHAnsi"/>
          <w:i/>
          <w:sz w:val="24"/>
          <w:szCs w:val="24"/>
        </w:rPr>
        <w:t>regullores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për lehtësirat tatimore dhe doganore për punëdhënësit që punësojnë persona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926599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Pr="00712AB8">
        <w:rPr>
          <w:rFonts w:asciiTheme="minorHAnsi" w:hAnsiTheme="minorHAnsi"/>
          <w:i/>
          <w:sz w:val="24"/>
          <w:szCs w:val="24"/>
        </w:rPr>
        <w:t>,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është </w:t>
      </w:r>
      <w:r w:rsidRPr="00712AB8">
        <w:rPr>
          <w:rFonts w:asciiTheme="minorHAnsi" w:hAnsiTheme="minorHAnsi"/>
          <w:i/>
          <w:sz w:val="24"/>
          <w:szCs w:val="24"/>
        </w:rPr>
        <w:t>në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Ligji</w:t>
      </w:r>
      <w:r w:rsidRPr="00712AB8">
        <w:rPr>
          <w:rFonts w:asciiTheme="minorHAnsi" w:hAnsiTheme="minorHAnsi"/>
          <w:i/>
          <w:sz w:val="24"/>
          <w:szCs w:val="24"/>
        </w:rPr>
        <w:t>n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Nr</w:t>
      </w:r>
      <w:r w:rsidRPr="00712AB8">
        <w:rPr>
          <w:rFonts w:asciiTheme="minorHAnsi" w:hAnsiTheme="minorHAnsi"/>
          <w:i/>
          <w:sz w:val="24"/>
          <w:szCs w:val="24"/>
        </w:rPr>
        <w:t>.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05 / L – 078 për ndryshim</w:t>
      </w:r>
      <w:r w:rsidRPr="00712AB8">
        <w:rPr>
          <w:rFonts w:asciiTheme="minorHAnsi" w:hAnsiTheme="minorHAnsi"/>
          <w:i/>
          <w:sz w:val="24"/>
          <w:szCs w:val="24"/>
        </w:rPr>
        <w:t>in dhe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plotësimin e Ligjit Nr</w:t>
      </w:r>
      <w:r w:rsidRPr="00712AB8">
        <w:rPr>
          <w:rFonts w:asciiTheme="minorHAnsi" w:hAnsiTheme="minorHAnsi"/>
          <w:i/>
          <w:sz w:val="24"/>
          <w:szCs w:val="24"/>
        </w:rPr>
        <w:t>.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03 / L – 019 për 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ftësimin, </w:t>
      </w:r>
      <w:r w:rsidR="00712AB8">
        <w:rPr>
          <w:rFonts w:asciiTheme="minorHAnsi" w:hAnsiTheme="minorHAnsi"/>
          <w:i/>
          <w:sz w:val="24"/>
          <w:szCs w:val="24"/>
        </w:rPr>
        <w:t>R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iaftësimin </w:t>
      </w:r>
      <w:r w:rsidR="00712AB8">
        <w:rPr>
          <w:rFonts w:asciiTheme="minorHAnsi" w:hAnsiTheme="minorHAnsi"/>
          <w:i/>
          <w:sz w:val="24"/>
          <w:szCs w:val="24"/>
        </w:rPr>
        <w:t>P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rofesional si dhe </w:t>
      </w:r>
      <w:r w:rsidR="00712AB8">
        <w:rPr>
          <w:rFonts w:asciiTheme="minorHAnsi" w:hAnsiTheme="minorHAnsi"/>
          <w:i/>
          <w:sz w:val="24"/>
          <w:szCs w:val="24"/>
        </w:rPr>
        <w:t>Punësimin e P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ersonave me </w:t>
      </w:r>
      <w:r w:rsidR="00712AB8">
        <w:rPr>
          <w:rFonts w:asciiTheme="minorHAnsi" w:hAnsiTheme="minorHAnsi"/>
          <w:i/>
          <w:sz w:val="24"/>
          <w:szCs w:val="24"/>
        </w:rPr>
        <w:t>Aftësi të K</w:t>
      </w:r>
      <w:r w:rsidR="00B67A23" w:rsidRPr="00712AB8">
        <w:rPr>
          <w:rFonts w:asciiTheme="minorHAnsi" w:hAnsiTheme="minorHAnsi"/>
          <w:i/>
          <w:sz w:val="24"/>
          <w:szCs w:val="24"/>
        </w:rPr>
        <w:t>ufizuar</w:t>
      </w:r>
      <w:r w:rsidRPr="00712AB8">
        <w:rPr>
          <w:rFonts w:asciiTheme="minorHAnsi" w:hAnsiTheme="minorHAnsi"/>
          <w:i/>
          <w:sz w:val="24"/>
          <w:szCs w:val="24"/>
        </w:rPr>
        <w:t>a</w:t>
      </w:r>
      <w:r w:rsidR="00353EDD" w:rsidRPr="00712AB8">
        <w:rPr>
          <w:rFonts w:asciiTheme="minorHAnsi" w:hAnsiTheme="minorHAnsi"/>
          <w:i/>
          <w:sz w:val="24"/>
          <w:szCs w:val="24"/>
        </w:rPr>
        <w:t>.</w:t>
      </w:r>
    </w:p>
    <w:p w:rsidR="00027ABC" w:rsidRPr="00712AB8" w:rsidRDefault="00027ABC" w:rsidP="00027A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53EDD" w:rsidRPr="00712AB8" w:rsidRDefault="00B67A23" w:rsidP="00926599">
      <w:pPr>
        <w:jc w:val="both"/>
        <w:rPr>
          <w:rFonts w:asciiTheme="minorHAnsi" w:hAnsiTheme="minorHAnsi"/>
          <w:i/>
          <w:sz w:val="24"/>
          <w:szCs w:val="24"/>
          <w:lang w:eastAsia="en-GB"/>
        </w:rPr>
      </w:pPr>
      <w:r w:rsidRPr="00712AB8">
        <w:rPr>
          <w:rFonts w:asciiTheme="minorHAnsi" w:hAnsiTheme="minorHAnsi"/>
          <w:i/>
          <w:sz w:val="24"/>
          <w:szCs w:val="24"/>
        </w:rPr>
        <w:t xml:space="preserve">Qëllimi i 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përgatitjes dhe </w:t>
      </w:r>
      <w:r w:rsidRPr="00712AB8">
        <w:rPr>
          <w:rFonts w:asciiTheme="minorHAnsi" w:hAnsiTheme="minorHAnsi"/>
          <w:i/>
          <w:sz w:val="24"/>
          <w:szCs w:val="24"/>
        </w:rPr>
        <w:t xml:space="preserve">hartimit të </w:t>
      </w:r>
      <w:r w:rsidR="00027ABC" w:rsidRPr="00712AB8">
        <w:rPr>
          <w:rFonts w:asciiTheme="minorHAnsi" w:hAnsiTheme="minorHAnsi"/>
          <w:i/>
          <w:sz w:val="24"/>
          <w:szCs w:val="24"/>
        </w:rPr>
        <w:t>Projekt</w:t>
      </w:r>
      <w:r w:rsidR="00712AB8">
        <w:rPr>
          <w:rFonts w:asciiTheme="minorHAnsi" w:hAnsiTheme="minorHAnsi"/>
          <w:i/>
          <w:sz w:val="24"/>
          <w:szCs w:val="24"/>
        </w:rPr>
        <w:t>r</w:t>
      </w:r>
      <w:r w:rsidR="00027ABC" w:rsidRPr="00712AB8">
        <w:rPr>
          <w:rFonts w:asciiTheme="minorHAnsi" w:hAnsiTheme="minorHAnsi"/>
          <w:i/>
          <w:sz w:val="24"/>
          <w:szCs w:val="24"/>
        </w:rPr>
        <w:t>regullores për lehtësirat tatimore dhe doganore për punëdhënësit që punësojnë persona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926599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pavarur,</w:t>
      </w:r>
      <w:r w:rsidRPr="00712AB8">
        <w:rPr>
          <w:rFonts w:asciiTheme="minorHAnsi" w:hAnsiTheme="minorHAnsi"/>
          <w:i/>
          <w:sz w:val="24"/>
          <w:szCs w:val="24"/>
        </w:rPr>
        <w:t xml:space="preserve"> është të rregulloj</w:t>
      </w:r>
      <w:r w:rsidR="000037D3" w:rsidRPr="00712AB8">
        <w:rPr>
          <w:rFonts w:asciiTheme="minorHAnsi" w:hAnsiTheme="minorHAnsi"/>
          <w:i/>
          <w:sz w:val="24"/>
          <w:szCs w:val="24"/>
        </w:rPr>
        <w:t>ë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 të përcaktojë lehtësirat tatimore dhe doganore për punëdhënës që punësojnë persona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si dhe për personat me aftësi të kufizuar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0037D3" w:rsidRPr="00712AB8">
        <w:rPr>
          <w:rFonts w:asciiTheme="minorHAnsi" w:hAnsiTheme="minorHAnsi"/>
          <w:i/>
          <w:sz w:val="24"/>
          <w:szCs w:val="24"/>
        </w:rPr>
        <w:t>,</w:t>
      </w:r>
      <w:r w:rsidRPr="00712AB8">
        <w:rPr>
          <w:rFonts w:asciiTheme="minorHAnsi" w:hAnsiTheme="minorHAnsi"/>
          <w:i/>
          <w:sz w:val="24"/>
          <w:szCs w:val="24"/>
        </w:rPr>
        <w:t xml:space="preserve"> ashtu sikurse është përcaktuar te Ligji Nr</w:t>
      </w:r>
      <w:r w:rsidR="000037D3" w:rsidRPr="00712AB8">
        <w:rPr>
          <w:rFonts w:asciiTheme="minorHAnsi" w:hAnsiTheme="minorHAnsi"/>
          <w:i/>
          <w:sz w:val="24"/>
          <w:szCs w:val="24"/>
        </w:rPr>
        <w:t>.</w:t>
      </w:r>
      <w:r w:rsidRPr="00712AB8">
        <w:rPr>
          <w:rFonts w:asciiTheme="minorHAnsi" w:hAnsiTheme="minorHAnsi"/>
          <w:i/>
          <w:sz w:val="24"/>
          <w:szCs w:val="24"/>
        </w:rPr>
        <w:t xml:space="preserve"> 05 / L – 078 për ndryshim</w:t>
      </w:r>
      <w:r w:rsidR="000037D3" w:rsidRPr="00712AB8">
        <w:rPr>
          <w:rFonts w:asciiTheme="minorHAnsi" w:hAnsiTheme="minorHAnsi"/>
          <w:i/>
          <w:sz w:val="24"/>
          <w:szCs w:val="24"/>
        </w:rPr>
        <w:t>in dhe</w:t>
      </w:r>
      <w:r w:rsidRPr="00712AB8">
        <w:rPr>
          <w:rFonts w:asciiTheme="minorHAnsi" w:hAnsiTheme="minorHAnsi"/>
          <w:i/>
          <w:sz w:val="24"/>
          <w:szCs w:val="24"/>
        </w:rPr>
        <w:t xml:space="preserve"> plotësimin e Ligjit Nr</w:t>
      </w:r>
      <w:r w:rsidR="000037D3" w:rsidRPr="00712AB8">
        <w:rPr>
          <w:rFonts w:asciiTheme="minorHAnsi" w:hAnsiTheme="minorHAnsi"/>
          <w:i/>
          <w:sz w:val="24"/>
          <w:szCs w:val="24"/>
        </w:rPr>
        <w:t>.</w:t>
      </w:r>
      <w:r w:rsidRPr="00712AB8">
        <w:rPr>
          <w:rFonts w:asciiTheme="minorHAnsi" w:hAnsiTheme="minorHAnsi"/>
          <w:i/>
          <w:sz w:val="24"/>
          <w:szCs w:val="24"/>
        </w:rPr>
        <w:t xml:space="preserve"> 03 / L – 019 për 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ftësimin, </w:t>
      </w:r>
      <w:r w:rsidR="00712AB8">
        <w:rPr>
          <w:rFonts w:asciiTheme="minorHAnsi" w:hAnsiTheme="minorHAnsi"/>
          <w:i/>
          <w:sz w:val="24"/>
          <w:szCs w:val="24"/>
        </w:rPr>
        <w:t>R</w:t>
      </w:r>
      <w:r w:rsidRPr="00712AB8">
        <w:rPr>
          <w:rFonts w:asciiTheme="minorHAnsi" w:hAnsiTheme="minorHAnsi"/>
          <w:i/>
          <w:sz w:val="24"/>
          <w:szCs w:val="24"/>
        </w:rPr>
        <w:t xml:space="preserve">iaftësimin </w:t>
      </w:r>
      <w:r w:rsidR="00712AB8">
        <w:rPr>
          <w:rFonts w:asciiTheme="minorHAnsi" w:hAnsiTheme="minorHAnsi"/>
          <w:i/>
          <w:sz w:val="24"/>
          <w:szCs w:val="24"/>
        </w:rPr>
        <w:t>P</w:t>
      </w:r>
      <w:r w:rsidRPr="00712AB8">
        <w:rPr>
          <w:rFonts w:asciiTheme="minorHAnsi" w:hAnsiTheme="minorHAnsi"/>
          <w:i/>
          <w:sz w:val="24"/>
          <w:szCs w:val="24"/>
        </w:rPr>
        <w:t xml:space="preserve">rofesional si dhe </w:t>
      </w:r>
      <w:r w:rsidR="00712AB8">
        <w:rPr>
          <w:rFonts w:asciiTheme="minorHAnsi" w:hAnsiTheme="minorHAnsi"/>
          <w:i/>
          <w:sz w:val="24"/>
          <w:szCs w:val="24"/>
        </w:rPr>
        <w:t>P</w:t>
      </w:r>
      <w:r w:rsidRPr="00712AB8">
        <w:rPr>
          <w:rFonts w:asciiTheme="minorHAnsi" w:hAnsiTheme="minorHAnsi"/>
          <w:i/>
          <w:sz w:val="24"/>
          <w:szCs w:val="24"/>
        </w:rPr>
        <w:t xml:space="preserve">unësimin e </w:t>
      </w:r>
      <w:r w:rsidR="00712AB8">
        <w:rPr>
          <w:rFonts w:asciiTheme="minorHAnsi" w:hAnsiTheme="minorHAnsi"/>
          <w:i/>
          <w:sz w:val="24"/>
          <w:szCs w:val="24"/>
        </w:rPr>
        <w:t>P</w:t>
      </w:r>
      <w:r w:rsidRPr="00712AB8">
        <w:rPr>
          <w:rFonts w:asciiTheme="minorHAnsi" w:hAnsiTheme="minorHAnsi"/>
          <w:i/>
          <w:sz w:val="24"/>
          <w:szCs w:val="24"/>
        </w:rPr>
        <w:t xml:space="preserve">ersonave me </w:t>
      </w:r>
      <w:r w:rsidR="00712AB8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ftësi të </w:t>
      </w:r>
      <w:r w:rsidR="00712AB8">
        <w:rPr>
          <w:rFonts w:asciiTheme="minorHAnsi" w:hAnsiTheme="minorHAnsi"/>
          <w:i/>
          <w:sz w:val="24"/>
          <w:szCs w:val="24"/>
        </w:rPr>
        <w:t>K</w:t>
      </w:r>
      <w:r w:rsidRPr="00712AB8">
        <w:rPr>
          <w:rFonts w:asciiTheme="minorHAnsi" w:hAnsiTheme="minorHAnsi"/>
          <w:i/>
          <w:sz w:val="24"/>
          <w:szCs w:val="24"/>
        </w:rPr>
        <w:t>ufizuar</w:t>
      </w:r>
      <w:r w:rsidR="000037D3" w:rsidRPr="00712AB8">
        <w:rPr>
          <w:rFonts w:asciiTheme="minorHAnsi" w:hAnsiTheme="minorHAnsi"/>
          <w:i/>
          <w:sz w:val="24"/>
          <w:szCs w:val="24"/>
        </w:rPr>
        <w:t>a</w:t>
      </w:r>
      <w:r w:rsidR="00353EDD" w:rsidRPr="00712AB8">
        <w:rPr>
          <w:rFonts w:asciiTheme="minorHAnsi" w:eastAsia="Calibri" w:hAnsiTheme="minorHAnsi"/>
          <w:i/>
          <w:sz w:val="24"/>
          <w:szCs w:val="24"/>
        </w:rPr>
        <w:t>.</w:t>
      </w:r>
    </w:p>
    <w:p w:rsidR="00366848" w:rsidRPr="00712AB8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712AB8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712AB8">
        <w:rPr>
          <w:rFonts w:asciiTheme="minorHAnsi" w:hAnsiTheme="minorHAnsi" w:cs="Calibri"/>
          <w:b/>
          <w:i/>
          <w:sz w:val="24"/>
          <w:szCs w:val="24"/>
        </w:rPr>
        <w:t>2.</w:t>
      </w:r>
      <w:r w:rsidR="000037D3" w:rsidRPr="00712AB8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366848" w:rsidRPr="00712AB8">
        <w:rPr>
          <w:rFonts w:asciiTheme="minorHAnsi" w:hAnsiTheme="minorHAnsi" w:cs="Calibri"/>
          <w:b/>
          <w:i/>
          <w:sz w:val="24"/>
          <w:szCs w:val="24"/>
        </w:rPr>
        <w:t>Përshkrimi i shkurtër i çështjes</w:t>
      </w:r>
    </w:p>
    <w:p w:rsidR="00B67A23" w:rsidRPr="00712AB8" w:rsidRDefault="00027ABC" w:rsidP="00926599">
      <w:pPr>
        <w:spacing w:after="60"/>
        <w:jc w:val="both"/>
        <w:rPr>
          <w:rFonts w:asciiTheme="minorHAnsi" w:hAnsiTheme="minorHAnsi"/>
          <w:i/>
          <w:sz w:val="24"/>
          <w:szCs w:val="24"/>
        </w:rPr>
      </w:pPr>
      <w:r w:rsidRPr="00712AB8">
        <w:rPr>
          <w:rFonts w:asciiTheme="minorHAnsi" w:hAnsiTheme="minorHAnsi"/>
          <w:i/>
          <w:sz w:val="24"/>
          <w:szCs w:val="24"/>
        </w:rPr>
        <w:t>Projekt</w:t>
      </w:r>
      <w:r w:rsidR="008E1C60">
        <w:rPr>
          <w:rFonts w:asciiTheme="minorHAnsi" w:hAnsiTheme="minorHAnsi"/>
          <w:i/>
          <w:sz w:val="24"/>
          <w:szCs w:val="24"/>
        </w:rPr>
        <w:t>r</w:t>
      </w:r>
      <w:r w:rsidRPr="00712AB8">
        <w:rPr>
          <w:rFonts w:asciiTheme="minorHAnsi" w:hAnsiTheme="minorHAnsi"/>
          <w:i/>
          <w:sz w:val="24"/>
          <w:szCs w:val="24"/>
        </w:rPr>
        <w:t>regullorja për lehtësirat tatimore dhe doganore për punëdhënësit që punësojnë persona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926599">
        <w:rPr>
          <w:rFonts w:asciiTheme="minorHAnsi" w:hAnsiTheme="minorHAnsi"/>
          <w:i/>
          <w:sz w:val="24"/>
          <w:szCs w:val="24"/>
        </w:rPr>
        <w:t xml:space="preserve"> për</w:t>
      </w:r>
      <w:r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0037D3" w:rsidRPr="00712AB8">
        <w:rPr>
          <w:rFonts w:asciiTheme="minorHAnsi" w:hAnsiTheme="minorHAnsi"/>
          <w:i/>
          <w:sz w:val="24"/>
          <w:szCs w:val="24"/>
        </w:rPr>
        <w:t>,</w:t>
      </w:r>
      <w:r w:rsidR="00B67A23" w:rsidRPr="00712AB8">
        <w:rPr>
          <w:rFonts w:asciiTheme="minorHAnsi" w:hAnsiTheme="minorHAnsi"/>
          <w:i/>
          <w:sz w:val="24"/>
          <w:szCs w:val="24"/>
        </w:rPr>
        <w:t xml:space="preserve"> adreson këto çështje: </w:t>
      </w:r>
    </w:p>
    <w:p w:rsidR="004949F3" w:rsidRPr="00712AB8" w:rsidRDefault="00027ABC" w:rsidP="004949F3">
      <w:pPr>
        <w:pStyle w:val="ListParagraph"/>
        <w:numPr>
          <w:ilvl w:val="0"/>
          <w:numId w:val="13"/>
        </w:numPr>
        <w:spacing w:after="60"/>
        <w:rPr>
          <w:rFonts w:asciiTheme="minorHAnsi" w:hAnsiTheme="minorHAnsi"/>
          <w:i/>
          <w:sz w:val="24"/>
          <w:szCs w:val="24"/>
        </w:rPr>
      </w:pPr>
      <w:r w:rsidRPr="00712AB8">
        <w:rPr>
          <w:rFonts w:asciiTheme="minorHAnsi" w:hAnsiTheme="minorHAnsi"/>
          <w:i/>
          <w:sz w:val="24"/>
          <w:szCs w:val="24"/>
        </w:rPr>
        <w:t>Lehtësirat tatimore për punëdhënësit që punësojnë persona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si dhe personat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4949F3" w:rsidRPr="00712AB8">
        <w:rPr>
          <w:rFonts w:asciiTheme="minorHAnsi" w:hAnsiTheme="minorHAnsi"/>
          <w:i/>
          <w:sz w:val="24"/>
          <w:szCs w:val="24"/>
        </w:rPr>
        <w:t>;</w:t>
      </w:r>
    </w:p>
    <w:p w:rsidR="004949F3" w:rsidRPr="00712AB8" w:rsidRDefault="00027ABC" w:rsidP="004949F3">
      <w:pPr>
        <w:pStyle w:val="ListParagraph"/>
        <w:numPr>
          <w:ilvl w:val="0"/>
          <w:numId w:val="13"/>
        </w:numPr>
        <w:spacing w:after="60"/>
        <w:rPr>
          <w:rFonts w:asciiTheme="minorHAnsi" w:hAnsiTheme="minorHAnsi"/>
          <w:i/>
          <w:sz w:val="24"/>
          <w:szCs w:val="24"/>
        </w:rPr>
      </w:pPr>
      <w:r w:rsidRPr="00712AB8">
        <w:rPr>
          <w:rFonts w:asciiTheme="minorHAnsi" w:hAnsiTheme="minorHAnsi"/>
          <w:i/>
          <w:sz w:val="24"/>
          <w:szCs w:val="24"/>
        </w:rPr>
        <w:t>Lehtësirat doganore për punëdhënësit që punësojnë persona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si dhe personat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4949F3" w:rsidRPr="00712AB8">
        <w:rPr>
          <w:rFonts w:asciiTheme="minorHAnsi" w:hAnsiTheme="minorHAnsi"/>
          <w:i/>
          <w:sz w:val="24"/>
          <w:szCs w:val="24"/>
        </w:rPr>
        <w:t>;</w:t>
      </w:r>
    </w:p>
    <w:p w:rsidR="004949F3" w:rsidRPr="00712AB8" w:rsidRDefault="004949F3" w:rsidP="00D52EB2">
      <w:pPr>
        <w:pStyle w:val="ListParagraph"/>
        <w:numPr>
          <w:ilvl w:val="0"/>
          <w:numId w:val="13"/>
        </w:numPr>
        <w:spacing w:after="60"/>
        <w:rPr>
          <w:rFonts w:asciiTheme="minorHAnsi" w:hAnsiTheme="minorHAnsi"/>
          <w:i/>
          <w:sz w:val="24"/>
          <w:szCs w:val="24"/>
        </w:rPr>
      </w:pPr>
      <w:r w:rsidRPr="00712AB8">
        <w:rPr>
          <w:rFonts w:asciiTheme="minorHAnsi" w:hAnsiTheme="minorHAnsi"/>
          <w:i/>
          <w:sz w:val="24"/>
          <w:szCs w:val="24"/>
        </w:rPr>
        <w:t>Procedura</w:t>
      </w:r>
      <w:r w:rsidR="000037D3" w:rsidRPr="00712AB8">
        <w:rPr>
          <w:rFonts w:asciiTheme="minorHAnsi" w:hAnsiTheme="minorHAnsi"/>
          <w:i/>
          <w:sz w:val="24"/>
          <w:szCs w:val="24"/>
        </w:rPr>
        <w:t>t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për realizimin e të drejtave për lehtësira tatimore dhe doganore. </w:t>
      </w:r>
    </w:p>
    <w:p w:rsidR="004949F3" w:rsidRPr="00712AB8" w:rsidRDefault="004949F3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3917D1" w:rsidRPr="00712AB8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12AB8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 w:rsidRPr="00712AB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12AB8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712AB8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712AB8" w:rsidRDefault="00B06F4D" w:rsidP="00AA5FF5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712AB8">
        <w:rPr>
          <w:rFonts w:asciiTheme="minorHAnsi" w:hAnsiTheme="minorHAnsi" w:cs="Calibri"/>
          <w:i/>
          <w:sz w:val="24"/>
          <w:szCs w:val="24"/>
        </w:rPr>
        <w:t xml:space="preserve">Qëllim kryesor i konsultimit për </w:t>
      </w:r>
      <w:r w:rsidR="00027ABC" w:rsidRPr="00712AB8">
        <w:rPr>
          <w:rFonts w:asciiTheme="minorHAnsi" w:hAnsiTheme="minorHAnsi"/>
          <w:i/>
          <w:sz w:val="24"/>
          <w:szCs w:val="24"/>
        </w:rPr>
        <w:t>Rregullor</w:t>
      </w:r>
      <w:r w:rsidR="008E1C60">
        <w:rPr>
          <w:rFonts w:asciiTheme="minorHAnsi" w:hAnsiTheme="minorHAnsi"/>
          <w:i/>
          <w:sz w:val="24"/>
          <w:szCs w:val="24"/>
        </w:rPr>
        <w:t>en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për lehtësirat tatimore dhe doganore për punëdhënësit që punësojnë persona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AA5FF5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8E1C60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pavarur,</w:t>
      </w:r>
      <w:r w:rsidR="00027ABC" w:rsidRPr="00712AB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712AB8">
        <w:rPr>
          <w:rFonts w:asciiTheme="minorHAnsi" w:hAnsiTheme="minorHAnsi" w:cs="Calibri"/>
          <w:i/>
          <w:sz w:val="24"/>
          <w:szCs w:val="24"/>
        </w:rPr>
        <w:t>është që</w:t>
      </w:r>
      <w:r w:rsidR="00027ABC" w:rsidRPr="00712AB8">
        <w:rPr>
          <w:rFonts w:asciiTheme="minorHAnsi" w:hAnsiTheme="minorHAnsi" w:cs="Calibri"/>
          <w:i/>
          <w:sz w:val="24"/>
          <w:szCs w:val="24"/>
        </w:rPr>
        <w:t xml:space="preserve"> o</w:t>
      </w:r>
      <w:r w:rsidR="008E1C60">
        <w:rPr>
          <w:rFonts w:asciiTheme="minorHAnsi" w:hAnsiTheme="minorHAnsi" w:cs="Calibri"/>
          <w:i/>
          <w:sz w:val="24"/>
          <w:szCs w:val="24"/>
        </w:rPr>
        <w:t>rgani p</w:t>
      </w:r>
      <w:r w:rsidR="00926D45" w:rsidRPr="00712AB8">
        <w:rPr>
          <w:rFonts w:asciiTheme="minorHAnsi" w:hAnsiTheme="minorHAnsi" w:cs="Calibri"/>
          <w:i/>
          <w:sz w:val="24"/>
          <w:szCs w:val="24"/>
        </w:rPr>
        <w:t>ropozues</w:t>
      </w:r>
      <w:r w:rsidRPr="00712AB8">
        <w:rPr>
          <w:rFonts w:asciiTheme="minorHAnsi" w:hAnsiTheme="minorHAnsi" w:cs="Calibri"/>
          <w:i/>
          <w:sz w:val="24"/>
          <w:szCs w:val="24"/>
        </w:rPr>
        <w:t xml:space="preserve"> të  ofrojë  për  grupet e caktuara të interesit</w:t>
      </w:r>
      <w:r w:rsidR="00D75132">
        <w:rPr>
          <w:rFonts w:asciiTheme="minorHAnsi" w:hAnsiTheme="minorHAnsi" w:cs="Calibri"/>
          <w:i/>
          <w:sz w:val="24"/>
          <w:szCs w:val="24"/>
        </w:rPr>
        <w:t>,</w:t>
      </w:r>
      <w:r w:rsidRPr="00712AB8">
        <w:rPr>
          <w:rFonts w:asciiTheme="minorHAnsi" w:hAnsiTheme="minorHAnsi" w:cs="Calibri"/>
          <w:i/>
          <w:sz w:val="24"/>
          <w:szCs w:val="24"/>
        </w:rPr>
        <w:t xml:space="preserve"> mënyrën </w:t>
      </w:r>
      <w:r w:rsidR="003D3970" w:rsidRPr="00712AB8">
        <w:rPr>
          <w:rFonts w:asciiTheme="minorHAnsi" w:hAnsiTheme="minorHAnsi" w:cs="Calibri"/>
          <w:i/>
          <w:sz w:val="24"/>
          <w:szCs w:val="24"/>
        </w:rPr>
        <w:t>transparente</w:t>
      </w:r>
      <w:r w:rsidRPr="00712AB8">
        <w:rPr>
          <w:rFonts w:asciiTheme="minorHAnsi" w:hAnsiTheme="minorHAnsi" w:cs="Calibri"/>
          <w:i/>
          <w:sz w:val="24"/>
          <w:szCs w:val="24"/>
        </w:rPr>
        <w:t xml:space="preserve"> për</w:t>
      </w:r>
      <w:r w:rsidR="00612172" w:rsidRPr="00712AB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712AB8">
        <w:rPr>
          <w:rFonts w:asciiTheme="minorHAnsi" w:hAnsiTheme="minorHAnsi" w:cs="Calibri"/>
          <w:i/>
          <w:sz w:val="24"/>
          <w:szCs w:val="24"/>
        </w:rPr>
        <w:t>opinionet dhe vlerësimet e tyre për dispozitat e</w:t>
      </w:r>
      <w:r w:rsidR="00027ABC" w:rsidRPr="00712AB8">
        <w:rPr>
          <w:rFonts w:asciiTheme="minorHAnsi" w:hAnsiTheme="minorHAnsi" w:cs="Calibri"/>
          <w:i/>
          <w:sz w:val="24"/>
          <w:szCs w:val="24"/>
        </w:rPr>
        <w:t xml:space="preserve"> Projekt</w:t>
      </w:r>
      <w:r w:rsidR="00D75132">
        <w:rPr>
          <w:rFonts w:asciiTheme="minorHAnsi" w:hAnsiTheme="minorHAnsi" w:cs="Calibri"/>
          <w:i/>
          <w:sz w:val="24"/>
          <w:szCs w:val="24"/>
        </w:rPr>
        <w:t>r</w:t>
      </w:r>
      <w:r w:rsidR="00027ABC" w:rsidRPr="00712AB8">
        <w:rPr>
          <w:rFonts w:asciiTheme="minorHAnsi" w:hAnsiTheme="minorHAnsi" w:cs="Calibri"/>
          <w:i/>
          <w:sz w:val="24"/>
          <w:szCs w:val="24"/>
        </w:rPr>
        <w:t>regullores</w:t>
      </w:r>
      <w:r w:rsidR="002D43A6" w:rsidRPr="00712AB8">
        <w:rPr>
          <w:rFonts w:asciiTheme="minorHAnsi" w:hAnsiTheme="minorHAnsi" w:cs="Calibri"/>
          <w:i/>
          <w:sz w:val="24"/>
          <w:szCs w:val="24"/>
        </w:rPr>
        <w:t>.</w:t>
      </w:r>
    </w:p>
    <w:p w:rsidR="00E14341" w:rsidRPr="00712AB8" w:rsidRDefault="00E14341" w:rsidP="00D75132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712AB8">
        <w:rPr>
          <w:rFonts w:asciiTheme="minorHAnsi" w:eastAsia="Calibri" w:hAnsiTheme="minorHAnsi" w:cs="Calibri"/>
          <w:i/>
          <w:sz w:val="24"/>
          <w:szCs w:val="24"/>
        </w:rPr>
        <w:t>Për këto dhe për ar</w:t>
      </w:r>
      <w:r w:rsidR="00926D45" w:rsidRPr="00712AB8">
        <w:rPr>
          <w:rFonts w:asciiTheme="minorHAnsi" w:eastAsia="Calibri" w:hAnsiTheme="minorHAnsi" w:cs="Calibri"/>
          <w:i/>
          <w:sz w:val="24"/>
          <w:szCs w:val="24"/>
        </w:rPr>
        <w:t>sye të tjera, Qeveria e Kosovës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712AB8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 w:rsidRPr="00712AB8">
        <w:rPr>
          <w:rFonts w:asciiTheme="minorHAnsi" w:eastAsia="Calibri" w:hAnsiTheme="minorHAnsi" w:cs="Calibri"/>
          <w:i/>
          <w:sz w:val="24"/>
          <w:szCs w:val="24"/>
        </w:rPr>
        <w:t>ëtë rast në këtë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 xml:space="preserve"> Projekt</w:t>
      </w:r>
      <w:r w:rsidR="00D75132">
        <w:rPr>
          <w:rFonts w:asciiTheme="minorHAnsi" w:eastAsia="Calibri" w:hAnsiTheme="minorHAnsi" w:cs="Calibri"/>
          <w:i/>
          <w:sz w:val="24"/>
          <w:szCs w:val="24"/>
        </w:rPr>
        <w:t>r</w:t>
      </w:r>
      <w:r w:rsidR="00027ABC" w:rsidRPr="00712AB8">
        <w:rPr>
          <w:rFonts w:asciiTheme="minorHAnsi" w:eastAsia="Calibri" w:hAnsiTheme="minorHAnsi" w:cs="Calibri"/>
          <w:i/>
          <w:sz w:val="24"/>
          <w:szCs w:val="24"/>
        </w:rPr>
        <w:t>regullore</w:t>
      </w:r>
      <w:r w:rsidR="002D43A6" w:rsidRPr="00712AB8">
        <w:rPr>
          <w:rFonts w:asciiTheme="minorHAnsi" w:eastAsia="Calibri" w:hAnsiTheme="minorHAnsi" w:cs="Calibri"/>
          <w:i/>
          <w:sz w:val="24"/>
          <w:szCs w:val="24"/>
        </w:rPr>
        <w:t>.</w:t>
      </w:r>
    </w:p>
    <w:p w:rsidR="00E14341" w:rsidRPr="00712AB8" w:rsidRDefault="00E14341" w:rsidP="00AA5FF5">
      <w:pPr>
        <w:spacing w:after="60"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712AB8">
        <w:rPr>
          <w:rFonts w:asciiTheme="minorHAnsi" w:eastAsia="Calibri" w:hAnsiTheme="minorHAnsi" w:cs="Calibri"/>
          <w:i/>
          <w:sz w:val="24"/>
          <w:szCs w:val="24"/>
        </w:rPr>
        <w:t>T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>ë gjitha komentet, rekomandimet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>,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alternativat tuaja të propozuara në </w:t>
      </w:r>
      <w:r w:rsidR="00027ABC" w:rsidRPr="00712AB8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D75132">
        <w:rPr>
          <w:rFonts w:asciiTheme="minorHAnsi" w:eastAsia="Calibri" w:hAnsiTheme="minorHAnsi" w:cs="Calibri"/>
          <w:i/>
          <w:sz w:val="24"/>
          <w:szCs w:val="24"/>
        </w:rPr>
        <w:t>r</w:t>
      </w:r>
      <w:r w:rsidR="00027ABC" w:rsidRPr="00712AB8">
        <w:rPr>
          <w:rFonts w:asciiTheme="minorHAnsi" w:hAnsiTheme="minorHAnsi"/>
          <w:i/>
          <w:sz w:val="24"/>
          <w:szCs w:val="24"/>
        </w:rPr>
        <w:t>regulloren për lehtësirat tatimore dhe doganore për punëdhënësit që punësojnë persona me aftësi të kufizuar</w:t>
      </w:r>
      <w:r w:rsidR="00D75132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AA5FF5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D75132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B62887" w:rsidRPr="00712AB8">
        <w:rPr>
          <w:rFonts w:asciiTheme="minorHAnsi" w:hAnsiTheme="minorHAnsi"/>
          <w:i/>
          <w:sz w:val="24"/>
          <w:szCs w:val="24"/>
        </w:rPr>
        <w:t>,</w:t>
      </w:r>
      <w:r w:rsidR="00E4414C" w:rsidRPr="00712AB8">
        <w:rPr>
          <w:rFonts w:asciiTheme="minorHAnsi" w:hAnsiTheme="minorHAnsi"/>
          <w:i/>
          <w:sz w:val="24"/>
          <w:szCs w:val="24"/>
        </w:rPr>
        <w:t xml:space="preserve"> 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>do t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>’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i 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lastRenderedPageBreak/>
        <w:t xml:space="preserve">analizojmë dhe në afatin sa më të shkurtër do t’i </w:t>
      </w:r>
      <w:r w:rsidR="003D3970" w:rsidRPr="00712AB8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712AB8">
        <w:rPr>
          <w:rFonts w:asciiTheme="minorHAnsi" w:eastAsia="Calibri" w:hAnsiTheme="minorHAnsi" w:cs="Calibri"/>
          <w:i/>
          <w:sz w:val="24"/>
          <w:szCs w:val="24"/>
        </w:rPr>
        <w:t xml:space="preserve"> dhe 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inkorporojmë 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 xml:space="preserve">në </w:t>
      </w:r>
      <w:r w:rsidR="00A44939" w:rsidRPr="00712AB8">
        <w:rPr>
          <w:rFonts w:asciiTheme="minorHAnsi" w:eastAsia="Calibri" w:hAnsiTheme="minorHAnsi" w:cs="Calibri"/>
          <w:i/>
          <w:sz w:val="24"/>
          <w:szCs w:val="24"/>
        </w:rPr>
        <w:t>Projektrregulloren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2D43A6" w:rsidRPr="00712AB8" w:rsidRDefault="002D43A6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712AB8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712AB8">
        <w:rPr>
          <w:rFonts w:asciiTheme="minorHAnsi" w:eastAsia="Calibri" w:hAnsiTheme="minorHAnsi"/>
          <w:b/>
          <w:i/>
          <w:sz w:val="24"/>
          <w:szCs w:val="24"/>
        </w:rPr>
        <w:t>4.</w:t>
      </w:r>
      <w:r w:rsidR="00B62887" w:rsidRPr="00712AB8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Pr="00712AB8">
        <w:rPr>
          <w:rFonts w:asciiTheme="minorHAnsi" w:eastAsia="Calibri" w:hAnsiTheme="minorHAnsi"/>
          <w:b/>
          <w:i/>
          <w:sz w:val="24"/>
          <w:szCs w:val="24"/>
        </w:rPr>
        <w:t>Afati përfundimtar për dhënien e komenteve</w:t>
      </w:r>
    </w:p>
    <w:p w:rsidR="00560C13" w:rsidRPr="00712AB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560C13" w:rsidRPr="00712AB8" w:rsidRDefault="00560C13" w:rsidP="00AA5FF5">
      <w:pPr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712AB8">
        <w:rPr>
          <w:rFonts w:asciiTheme="minorHAnsi" w:eastAsia="Calibri" w:hAnsiTheme="minorHAnsi"/>
          <w:i/>
          <w:sz w:val="24"/>
          <w:szCs w:val="24"/>
        </w:rPr>
        <w:t xml:space="preserve">Afati përfundimtar i dhënies së komenteve në kuadër të </w:t>
      </w:r>
      <w:r w:rsidR="00027ABC" w:rsidRPr="00712AB8">
        <w:rPr>
          <w:rFonts w:asciiTheme="minorHAnsi" w:eastAsia="Calibri" w:hAnsiTheme="minorHAnsi"/>
          <w:i/>
          <w:sz w:val="24"/>
          <w:szCs w:val="24"/>
        </w:rPr>
        <w:t>Projekt</w:t>
      </w:r>
      <w:r w:rsidR="007A0069">
        <w:rPr>
          <w:rFonts w:asciiTheme="minorHAnsi" w:eastAsia="Calibri" w:hAnsiTheme="minorHAnsi"/>
          <w:i/>
          <w:sz w:val="24"/>
          <w:szCs w:val="24"/>
        </w:rPr>
        <w:t>r</w:t>
      </w:r>
      <w:r w:rsidR="00027ABC" w:rsidRPr="00712AB8">
        <w:rPr>
          <w:rFonts w:asciiTheme="minorHAnsi" w:hAnsiTheme="minorHAnsi"/>
          <w:i/>
          <w:sz w:val="24"/>
          <w:szCs w:val="24"/>
        </w:rPr>
        <w:t>regullores për lehtësirat tatimore dhe doganore për punëdhënësit që punësojnë persona me aftësi të kufizuar</w:t>
      </w:r>
      <w:r w:rsidR="007A0069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AA5FF5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7A0069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B62887" w:rsidRPr="00712AB8">
        <w:rPr>
          <w:rFonts w:asciiTheme="minorHAnsi" w:hAnsiTheme="minorHAnsi"/>
          <w:i/>
          <w:sz w:val="24"/>
          <w:szCs w:val="24"/>
        </w:rPr>
        <w:t>,</w:t>
      </w:r>
      <w:r w:rsidR="004949F3" w:rsidRPr="00712AB8">
        <w:rPr>
          <w:rFonts w:asciiTheme="minorHAnsi" w:hAnsiTheme="minorHAnsi"/>
          <w:i/>
          <w:sz w:val="24"/>
          <w:szCs w:val="24"/>
        </w:rPr>
        <w:t xml:space="preserve"> është </w:t>
      </w:r>
      <w:r w:rsidR="00D800A2" w:rsidRPr="00712AB8">
        <w:rPr>
          <w:rFonts w:asciiTheme="minorHAnsi" w:hAnsiTheme="minorHAnsi"/>
          <w:b/>
          <w:i/>
          <w:sz w:val="24"/>
          <w:szCs w:val="24"/>
        </w:rPr>
        <w:t>deri më:</w:t>
      </w:r>
      <w:r w:rsidR="000372EF">
        <w:rPr>
          <w:rFonts w:asciiTheme="minorHAnsi" w:hAnsiTheme="minorHAnsi"/>
          <w:b/>
          <w:i/>
          <w:sz w:val="24"/>
          <w:szCs w:val="24"/>
        </w:rPr>
        <w:t>02.07.2018</w:t>
      </w:r>
      <w:bookmarkStart w:id="0" w:name="_GoBack"/>
      <w:bookmarkEnd w:id="0"/>
    </w:p>
    <w:p w:rsidR="00560C13" w:rsidRPr="00712AB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712AB8">
        <w:rPr>
          <w:rFonts w:asciiTheme="minorHAnsi" w:eastAsia="Calibri" w:hAnsiTheme="minorHAnsi" w:cs="Calibri"/>
          <w:i/>
          <w:sz w:val="24"/>
          <w:szCs w:val="24"/>
        </w:rPr>
        <w:t xml:space="preserve">Komentet duhet të dorëzohen në formë elektronike në e-mail adresën: </w:t>
      </w:r>
      <w:hyperlink r:id="rId9" w:history="1">
        <w:r w:rsidR="004949F3" w:rsidRPr="00712AB8">
          <w:rPr>
            <w:rStyle w:val="Hyperlink"/>
            <w:rFonts w:asciiTheme="minorHAnsi" w:eastAsia="Calibri" w:hAnsiTheme="minorHAnsi" w:cs="Calibri"/>
            <w:i/>
            <w:sz w:val="24"/>
            <w:szCs w:val="24"/>
          </w:rPr>
          <w:t>Ylber.A.Aliu@rks-gov.net</w:t>
        </w:r>
      </w:hyperlink>
      <w:r w:rsidR="00AD0C90" w:rsidRPr="00712AB8">
        <w:rPr>
          <w:rFonts w:asciiTheme="minorHAnsi" w:eastAsia="Calibri" w:hAnsiTheme="minorHAnsi" w:cs="Calibri"/>
          <w:i/>
          <w:sz w:val="24"/>
          <w:szCs w:val="24"/>
        </w:rPr>
        <w:t>,</w:t>
      </w:r>
      <w:r w:rsidR="004949F3" w:rsidRPr="00712AB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712AB8">
        <w:rPr>
          <w:rFonts w:asciiTheme="minorHAnsi" w:hAnsiTheme="minorHAnsi" w:cstheme="minorHAnsi"/>
          <w:i/>
          <w:sz w:val="24"/>
          <w:szCs w:val="24"/>
        </w:rPr>
        <w:t xml:space="preserve">përmes Platformës Elektronike </w:t>
      </w:r>
      <w:r w:rsidR="00B62887" w:rsidRPr="00712AB8">
        <w:rPr>
          <w:rFonts w:asciiTheme="minorHAnsi" w:hAnsiTheme="minorHAnsi" w:cstheme="minorHAnsi"/>
          <w:i/>
          <w:sz w:val="24"/>
          <w:szCs w:val="24"/>
        </w:rPr>
        <w:t>O</w:t>
      </w:r>
      <w:r w:rsidRPr="00712AB8">
        <w:rPr>
          <w:rFonts w:asciiTheme="minorHAnsi" w:hAnsiTheme="minorHAnsi" w:cstheme="minorHAnsi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712AB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712AB8" w:rsidRDefault="00560C13" w:rsidP="00AA5FF5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712AB8"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 w:rsidR="00027ABC" w:rsidRPr="00712AB8">
        <w:rPr>
          <w:rFonts w:asciiTheme="minorHAnsi" w:hAnsiTheme="minorHAnsi"/>
          <w:i/>
          <w:sz w:val="24"/>
          <w:szCs w:val="24"/>
        </w:rPr>
        <w:t>Rregullor</w:t>
      </w:r>
      <w:r w:rsidR="007A0069">
        <w:rPr>
          <w:rFonts w:asciiTheme="minorHAnsi" w:hAnsiTheme="minorHAnsi"/>
          <w:i/>
          <w:sz w:val="24"/>
          <w:szCs w:val="24"/>
        </w:rPr>
        <w:t>en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për lehtësirat tatimore dhe doganore për punëdhënësit që punësojnë persona me aftësi të kufizuar</w:t>
      </w:r>
      <w:r w:rsidR="007A0069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dhe</w:t>
      </w:r>
      <w:r w:rsidR="00AA5FF5">
        <w:rPr>
          <w:rFonts w:asciiTheme="minorHAnsi" w:hAnsiTheme="minorHAnsi"/>
          <w:i/>
          <w:sz w:val="24"/>
          <w:szCs w:val="24"/>
        </w:rPr>
        <w:t xml:space="preserve"> për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personat me aftësi të kufizuar</w:t>
      </w:r>
      <w:r w:rsidR="007A0069">
        <w:rPr>
          <w:rFonts w:asciiTheme="minorHAnsi" w:hAnsiTheme="minorHAnsi"/>
          <w:i/>
          <w:sz w:val="24"/>
          <w:szCs w:val="24"/>
        </w:rPr>
        <w:t>a</w:t>
      </w:r>
      <w:r w:rsidR="00027ABC" w:rsidRPr="00712AB8">
        <w:rPr>
          <w:rFonts w:asciiTheme="minorHAnsi" w:hAnsiTheme="minorHAnsi"/>
          <w:i/>
          <w:sz w:val="24"/>
          <w:szCs w:val="24"/>
        </w:rPr>
        <w:t xml:space="preserve"> që ushtrojnë veprimtari të pavarur</w:t>
      </w:r>
      <w:r w:rsidR="004949F3" w:rsidRPr="00712AB8">
        <w:rPr>
          <w:rFonts w:asciiTheme="minorHAnsi" w:hAnsiTheme="minorHAnsi"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712AB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RPr="00712AB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 w:rsidP="007A0069">
            <w:pPr>
              <w:spacing w:line="240" w:lineRule="auto"/>
              <w:jc w:val="center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  <w:r w:rsidRPr="00712AB8">
              <w:rPr>
                <w:rFonts w:asciiTheme="minorHAnsi" w:hAnsiTheme="minorHAnsi"/>
                <w:i/>
                <w:sz w:val="24"/>
                <w:szCs w:val="24"/>
              </w:rPr>
              <w:t>Cili është opinioni juaj</w:t>
            </w:r>
            <w:r w:rsidR="008E760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lidhur me</w:t>
            </w:r>
            <w:r w:rsidR="00B62887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>Rregullor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për lehtësirat tatimore dhe doganore për punëdhënësit që punësojnë persona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dhe 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 xml:space="preserve">për 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>personat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që ushtrojnë veprimtari të pavarur?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081F11" w:rsidRPr="00712AB8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4949F3" w:rsidP="007A0069">
            <w:pPr>
              <w:spacing w:after="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>Cil</w:t>
            </w:r>
            <w:r w:rsidR="007A0069">
              <w:rPr>
                <w:rFonts w:asciiTheme="minorHAnsi" w:eastAsia="Calibri" w:hAnsiTheme="minorHAnsi" w:cs="Calibri"/>
                <w:i/>
                <w:sz w:val="24"/>
                <w:szCs w:val="24"/>
              </w:rPr>
              <w:t>i</w:t>
            </w: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është opinioni juaj lidhur me</w:t>
            </w:r>
            <w:r w:rsidR="00027ABC"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lehtësirat tatimore të propozuara</w:t>
            </w:r>
            <w:r w:rsidR="00027ABC" w:rsidRPr="00712AB8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027ABC"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për 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>punëdhënësit që punësojnë persona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dhe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 xml:space="preserve"> për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personat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="00027ABC"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që ushtrojnë veprimtari të pavarur</w:t>
            </w:r>
            <w:r w:rsidRPr="00712AB8">
              <w:rPr>
                <w:rFonts w:asciiTheme="minorHAnsi" w:eastAsia="Calibri" w:hAnsiTheme="minorHAnsi" w:cs="Calibri"/>
                <w:sz w:val="24"/>
                <w:szCs w:val="24"/>
              </w:rPr>
              <w:t xml:space="preserve">?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081F11" w:rsidRPr="00712AB8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712AB8" w:rsidRDefault="00027ABC" w:rsidP="007A0069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>Cil</w:t>
            </w:r>
            <w:r w:rsidR="007A0069">
              <w:rPr>
                <w:rFonts w:asciiTheme="minorHAnsi" w:eastAsia="Calibri" w:hAnsiTheme="minorHAnsi" w:cs="Calibri"/>
                <w:i/>
                <w:sz w:val="24"/>
                <w:szCs w:val="24"/>
              </w:rPr>
              <w:t>i</w:t>
            </w: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është opinioni juaj lidhur me lehtësirat doganore të propozuara</w:t>
            </w:r>
            <w:r w:rsidRPr="00712AB8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për </w:t>
            </w:r>
            <w:r w:rsidRPr="00712AB8">
              <w:rPr>
                <w:rFonts w:asciiTheme="minorHAnsi" w:hAnsiTheme="minorHAnsi"/>
                <w:i/>
                <w:sz w:val="24"/>
                <w:szCs w:val="24"/>
              </w:rPr>
              <w:t>punëdhënësit që punësojnë persona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dhe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 xml:space="preserve"> për</w:t>
            </w:r>
            <w:r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personat me aftësi të kufizuar</w:t>
            </w:r>
            <w:r w:rsidR="007A0069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712AB8">
              <w:rPr>
                <w:rFonts w:asciiTheme="minorHAnsi" w:hAnsiTheme="minorHAnsi"/>
                <w:i/>
                <w:sz w:val="24"/>
                <w:szCs w:val="24"/>
              </w:rPr>
              <w:t xml:space="preserve"> që </w:t>
            </w:r>
            <w:r w:rsidRPr="00712AB8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ushtrojnë veprimtari të pavarur</w:t>
            </w:r>
            <w:r w:rsidRPr="00712AB8">
              <w:rPr>
                <w:rFonts w:asciiTheme="minorHAnsi" w:eastAsia="Calibri" w:hAnsiTheme="minorHAnsi" w:cs="Calibri"/>
                <w:sz w:val="24"/>
                <w:szCs w:val="24"/>
              </w:rPr>
              <w:t xml:space="preserve">?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712AB8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8E760C" w:rsidRPr="00712AB8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712AB8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712AB8" w:rsidRDefault="004949F3" w:rsidP="00701407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  <w:r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>Cili është opinioni juaj lidhur me</w:t>
            </w:r>
            <w:r w:rsidR="00701407"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procedurat e realizimit të</w:t>
            </w:r>
            <w:r w:rsidR="007A0069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të</w:t>
            </w:r>
            <w:r w:rsidR="00701407"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 drejtave për lehtësirat tatimore dhe doganore</w:t>
            </w:r>
            <w:r w:rsidR="00C31F2A" w:rsidRPr="00712AB8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712AB8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712AB8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4A5930" w:rsidRPr="00926D45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926D45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926D45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926D45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926D45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926D45" w:rsidRDefault="00366848">
      <w:pPr>
        <w:rPr>
          <w:rFonts w:asciiTheme="minorHAnsi" w:hAnsiTheme="minorHAnsi"/>
          <w:i/>
          <w:sz w:val="24"/>
          <w:szCs w:val="24"/>
        </w:rPr>
      </w:pPr>
    </w:p>
    <w:sectPr w:rsidR="00366848" w:rsidRPr="00926D45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57" w:rsidRDefault="006D2A57" w:rsidP="003A4FA3">
      <w:pPr>
        <w:spacing w:after="0" w:line="240" w:lineRule="auto"/>
      </w:pPr>
      <w:r>
        <w:separator/>
      </w:r>
    </w:p>
  </w:endnote>
  <w:endnote w:type="continuationSeparator" w:id="0">
    <w:p w:rsidR="006D2A57" w:rsidRDefault="006D2A57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57" w:rsidRDefault="006D2A57" w:rsidP="003A4FA3">
      <w:pPr>
        <w:spacing w:after="0" w:line="240" w:lineRule="auto"/>
      </w:pPr>
      <w:r>
        <w:separator/>
      </w:r>
    </w:p>
  </w:footnote>
  <w:footnote w:type="continuationSeparator" w:id="0">
    <w:p w:rsidR="006D2A57" w:rsidRDefault="006D2A57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1466C"/>
    <w:rsid w:val="0001524C"/>
    <w:rsid w:val="000175D4"/>
    <w:rsid w:val="00027ABC"/>
    <w:rsid w:val="000372EF"/>
    <w:rsid w:val="00040F0E"/>
    <w:rsid w:val="00045DC4"/>
    <w:rsid w:val="00056EE4"/>
    <w:rsid w:val="00077A9B"/>
    <w:rsid w:val="00081F11"/>
    <w:rsid w:val="00090623"/>
    <w:rsid w:val="00094AB6"/>
    <w:rsid w:val="000A5BE5"/>
    <w:rsid w:val="000C5552"/>
    <w:rsid w:val="000C7A6F"/>
    <w:rsid w:val="000E06B2"/>
    <w:rsid w:val="000F7A73"/>
    <w:rsid w:val="00107A64"/>
    <w:rsid w:val="0012600C"/>
    <w:rsid w:val="00126599"/>
    <w:rsid w:val="00132487"/>
    <w:rsid w:val="00152E7F"/>
    <w:rsid w:val="001648F3"/>
    <w:rsid w:val="001722C6"/>
    <w:rsid w:val="001840B4"/>
    <w:rsid w:val="0019276B"/>
    <w:rsid w:val="001A7187"/>
    <w:rsid w:val="001C762B"/>
    <w:rsid w:val="001F43EB"/>
    <w:rsid w:val="0020249E"/>
    <w:rsid w:val="00204C00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B70C5"/>
    <w:rsid w:val="002C1AD4"/>
    <w:rsid w:val="002D43A6"/>
    <w:rsid w:val="002E7F9F"/>
    <w:rsid w:val="002F6F1E"/>
    <w:rsid w:val="002F7FD0"/>
    <w:rsid w:val="00304D61"/>
    <w:rsid w:val="00320286"/>
    <w:rsid w:val="00322D29"/>
    <w:rsid w:val="00347BEF"/>
    <w:rsid w:val="00350F0A"/>
    <w:rsid w:val="00353EDD"/>
    <w:rsid w:val="00366848"/>
    <w:rsid w:val="00372124"/>
    <w:rsid w:val="0037303F"/>
    <w:rsid w:val="00383EEA"/>
    <w:rsid w:val="003917D1"/>
    <w:rsid w:val="003976FF"/>
    <w:rsid w:val="003A35E3"/>
    <w:rsid w:val="003A4FA3"/>
    <w:rsid w:val="003C0705"/>
    <w:rsid w:val="003D386C"/>
    <w:rsid w:val="003D3970"/>
    <w:rsid w:val="003E2D1B"/>
    <w:rsid w:val="004153A7"/>
    <w:rsid w:val="00420033"/>
    <w:rsid w:val="004224DF"/>
    <w:rsid w:val="00426F74"/>
    <w:rsid w:val="00430850"/>
    <w:rsid w:val="00464085"/>
    <w:rsid w:val="00466789"/>
    <w:rsid w:val="00471542"/>
    <w:rsid w:val="004949F3"/>
    <w:rsid w:val="004973E7"/>
    <w:rsid w:val="004A5930"/>
    <w:rsid w:val="004A5B21"/>
    <w:rsid w:val="004B1944"/>
    <w:rsid w:val="004B442C"/>
    <w:rsid w:val="004D3C5C"/>
    <w:rsid w:val="004D7C06"/>
    <w:rsid w:val="004E2DDF"/>
    <w:rsid w:val="004E36F1"/>
    <w:rsid w:val="004E5D7B"/>
    <w:rsid w:val="004F1202"/>
    <w:rsid w:val="004F1725"/>
    <w:rsid w:val="00506DD7"/>
    <w:rsid w:val="00523C48"/>
    <w:rsid w:val="005260B0"/>
    <w:rsid w:val="00533170"/>
    <w:rsid w:val="0053558E"/>
    <w:rsid w:val="00560C13"/>
    <w:rsid w:val="005812D1"/>
    <w:rsid w:val="00612172"/>
    <w:rsid w:val="00631269"/>
    <w:rsid w:val="006369E7"/>
    <w:rsid w:val="00637E22"/>
    <w:rsid w:val="006507EC"/>
    <w:rsid w:val="00681937"/>
    <w:rsid w:val="006A1438"/>
    <w:rsid w:val="006C15B4"/>
    <w:rsid w:val="006C1DAF"/>
    <w:rsid w:val="006C6AC5"/>
    <w:rsid w:val="006D2A57"/>
    <w:rsid w:val="006E10BE"/>
    <w:rsid w:val="006E5A94"/>
    <w:rsid w:val="006F336D"/>
    <w:rsid w:val="006F70FF"/>
    <w:rsid w:val="0070104B"/>
    <w:rsid w:val="00701407"/>
    <w:rsid w:val="00712AB8"/>
    <w:rsid w:val="00712C30"/>
    <w:rsid w:val="00732592"/>
    <w:rsid w:val="00744A13"/>
    <w:rsid w:val="00757946"/>
    <w:rsid w:val="007747FD"/>
    <w:rsid w:val="00777CD2"/>
    <w:rsid w:val="007A0069"/>
    <w:rsid w:val="007A0D56"/>
    <w:rsid w:val="007A2544"/>
    <w:rsid w:val="007C1538"/>
    <w:rsid w:val="007D0DED"/>
    <w:rsid w:val="007E041D"/>
    <w:rsid w:val="007E192A"/>
    <w:rsid w:val="007F1EFF"/>
    <w:rsid w:val="007F5448"/>
    <w:rsid w:val="00807E83"/>
    <w:rsid w:val="00815AB9"/>
    <w:rsid w:val="008412DD"/>
    <w:rsid w:val="008478E0"/>
    <w:rsid w:val="008623FC"/>
    <w:rsid w:val="00867E5B"/>
    <w:rsid w:val="008B10D2"/>
    <w:rsid w:val="008C0298"/>
    <w:rsid w:val="008D7FAC"/>
    <w:rsid w:val="008E1C60"/>
    <w:rsid w:val="008E760C"/>
    <w:rsid w:val="00905704"/>
    <w:rsid w:val="00912F08"/>
    <w:rsid w:val="00926599"/>
    <w:rsid w:val="00926D45"/>
    <w:rsid w:val="0093734C"/>
    <w:rsid w:val="00946D36"/>
    <w:rsid w:val="00960C68"/>
    <w:rsid w:val="00962DD6"/>
    <w:rsid w:val="00972198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1087A"/>
    <w:rsid w:val="00A22DC1"/>
    <w:rsid w:val="00A31234"/>
    <w:rsid w:val="00A42694"/>
    <w:rsid w:val="00A44939"/>
    <w:rsid w:val="00A45F90"/>
    <w:rsid w:val="00A551C5"/>
    <w:rsid w:val="00A74C7A"/>
    <w:rsid w:val="00A752E0"/>
    <w:rsid w:val="00A85901"/>
    <w:rsid w:val="00A86167"/>
    <w:rsid w:val="00A92002"/>
    <w:rsid w:val="00AA5FF5"/>
    <w:rsid w:val="00AB6115"/>
    <w:rsid w:val="00AD0C90"/>
    <w:rsid w:val="00AD3FB3"/>
    <w:rsid w:val="00AD4C99"/>
    <w:rsid w:val="00AE0A5F"/>
    <w:rsid w:val="00AE3E8F"/>
    <w:rsid w:val="00B06F4D"/>
    <w:rsid w:val="00B072C6"/>
    <w:rsid w:val="00B1056A"/>
    <w:rsid w:val="00B4625C"/>
    <w:rsid w:val="00B50144"/>
    <w:rsid w:val="00B61A51"/>
    <w:rsid w:val="00B61B5B"/>
    <w:rsid w:val="00B62887"/>
    <w:rsid w:val="00B656DD"/>
    <w:rsid w:val="00B65B43"/>
    <w:rsid w:val="00B67A23"/>
    <w:rsid w:val="00B84A13"/>
    <w:rsid w:val="00B877F4"/>
    <w:rsid w:val="00B90765"/>
    <w:rsid w:val="00BB3681"/>
    <w:rsid w:val="00BE434B"/>
    <w:rsid w:val="00BF3FE3"/>
    <w:rsid w:val="00C1161B"/>
    <w:rsid w:val="00C12205"/>
    <w:rsid w:val="00C15277"/>
    <w:rsid w:val="00C31F2A"/>
    <w:rsid w:val="00C32694"/>
    <w:rsid w:val="00C369D4"/>
    <w:rsid w:val="00C56B8E"/>
    <w:rsid w:val="00C666C4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4AA2"/>
    <w:rsid w:val="00D75132"/>
    <w:rsid w:val="00D800A2"/>
    <w:rsid w:val="00D85E28"/>
    <w:rsid w:val="00D95DD7"/>
    <w:rsid w:val="00D96C7A"/>
    <w:rsid w:val="00DA1D56"/>
    <w:rsid w:val="00DB5BA0"/>
    <w:rsid w:val="00DC4859"/>
    <w:rsid w:val="00DD460A"/>
    <w:rsid w:val="00DF5723"/>
    <w:rsid w:val="00E03BFC"/>
    <w:rsid w:val="00E14341"/>
    <w:rsid w:val="00E33393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21FDF"/>
    <w:rsid w:val="00F377BC"/>
    <w:rsid w:val="00F51B9A"/>
    <w:rsid w:val="00F54B65"/>
    <w:rsid w:val="00F603C1"/>
    <w:rsid w:val="00F65DEF"/>
    <w:rsid w:val="00F71F22"/>
    <w:rsid w:val="00F8728D"/>
    <w:rsid w:val="00F91EA8"/>
    <w:rsid w:val="00F97FD8"/>
    <w:rsid w:val="00FA3D39"/>
    <w:rsid w:val="00FA7C5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E814F7-D0BE-44B0-AC33-F18F8B6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lber.A.Aliu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1398-71E6-4A65-901D-794E701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Zemrie Limaj</cp:lastModifiedBy>
  <cp:revision>15</cp:revision>
  <cp:lastPrinted>2012-03-20T12:25:00Z</cp:lastPrinted>
  <dcterms:created xsi:type="dcterms:W3CDTF">2018-05-08T09:39:00Z</dcterms:created>
  <dcterms:modified xsi:type="dcterms:W3CDTF">2018-06-12T11:34:00Z</dcterms:modified>
</cp:coreProperties>
</file>